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1C" w:rsidRDefault="00077A1C"/>
    <w:p w:rsidR="003E38CF" w:rsidRDefault="00835418">
      <w:r>
        <w:rPr>
          <w:noProof/>
          <w:lang w:eastAsia="da-DK"/>
        </w:rPr>
        <mc:AlternateContent>
          <mc:Choice Requires="wps">
            <w:drawing>
              <wp:anchor distT="0" distB="0" distL="114300" distR="114300" simplePos="0" relativeHeight="251659264" behindDoc="0" locked="0" layoutInCell="1" allowOverlap="1" wp14:anchorId="46F0E197" wp14:editId="46F0E198">
                <wp:simplePos x="0" y="0"/>
                <wp:positionH relativeFrom="column">
                  <wp:posOffset>1260687</wp:posOffset>
                </wp:positionH>
                <wp:positionV relativeFrom="paragraph">
                  <wp:posOffset>6639348</wp:posOffset>
                </wp:positionV>
                <wp:extent cx="4495800" cy="894715"/>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495800" cy="894715"/>
                        </a:xfrm>
                        <a:prstGeom prst="rect">
                          <a:avLst/>
                        </a:prstGeom>
                        <a:noFill/>
                        <a:ln w="6350">
                          <a:noFill/>
                        </a:ln>
                      </wps:spPr>
                      <wps:txbx>
                        <w:txbxContent>
                          <w:p w:rsidR="00126954" w:rsidRDefault="00126954" w:rsidP="003E38CF">
                            <w:pPr>
                              <w:pStyle w:val="Titel"/>
                            </w:pPr>
                            <w:r>
                              <w:t>Tilsynsplan</w:t>
                            </w:r>
                          </w:p>
                          <w:p w:rsidR="00126954" w:rsidRPr="00662D09" w:rsidRDefault="00126954" w:rsidP="00662D09">
                            <w:r>
                              <w:t>Tilsyn med politiets og anklagemyndighedens straffesagsbehandling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6F0E197" id="_x0000_t202" coordsize="21600,21600" o:spt="202" path="m,l,21600r21600,l21600,xe">
                <v:stroke joinstyle="miter"/>
                <v:path gradientshapeok="t" o:connecttype="rect"/>
              </v:shapetype>
              <v:shape id="Text Box 3" o:spid="_x0000_s1026" type="#_x0000_t202" style="position:absolute;left:0;text-align:left;margin-left:99.25pt;margin-top:522.8pt;width:354pt;height:7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" filled="f" stroked="f" strokeweight=".5pt">
                <v:textbox style="mso-fit-shape-to-text:t" inset="0,0,0,0">
                  <w:txbxContent>
                    <w:p w:rsidR="00126954" w:rsidRDefault="00126954" w:rsidP="003E38CF">
                      <w:pPr>
                        <w:pStyle w:val="Titel"/>
                      </w:pPr>
                      <w:r>
                        <w:t>Tilsynsplan</w:t>
                      </w:r>
                    </w:p>
                    <w:p w:rsidR="00126954" w:rsidRPr="00662D09" w:rsidRDefault="00126954" w:rsidP="00662D09">
                      <w:r>
                        <w:t>Tilsyn med politiets og anklagemyndighedens straffesagsbehandling</w:t>
                      </w:r>
                    </w:p>
                  </w:txbxContent>
                </v:textbox>
              </v:shape>
            </w:pict>
          </mc:Fallback>
        </mc:AlternateContent>
      </w:r>
      <w:r>
        <w:rPr>
          <w:noProof/>
          <w:lang w:eastAsia="da-DK"/>
        </w:rPr>
        <mc:AlternateContent>
          <mc:Choice Requires="wps">
            <w:drawing>
              <wp:anchor distT="0" distB="0" distL="114300" distR="114300" simplePos="0" relativeHeight="251661312" behindDoc="0" locked="0" layoutInCell="1" allowOverlap="1" wp14:anchorId="46F0E199" wp14:editId="46F0E19A">
                <wp:simplePos x="0" y="0"/>
                <wp:positionH relativeFrom="column">
                  <wp:posOffset>1260475</wp:posOffset>
                </wp:positionH>
                <wp:positionV relativeFrom="paragraph">
                  <wp:posOffset>8546465</wp:posOffset>
                </wp:positionV>
                <wp:extent cx="3272074" cy="894944"/>
                <wp:effectExtent l="0" t="0" r="5080" b="5080"/>
                <wp:wrapNone/>
                <wp:docPr id="4" name="Text Box 4"/>
                <wp:cNvGraphicFramePr/>
                <a:graphic xmlns:a="http://schemas.openxmlformats.org/drawingml/2006/main">
                  <a:graphicData uri="http://schemas.microsoft.com/office/word/2010/wordprocessingShape">
                    <wps:wsp>
                      <wps:cNvSpPr txBox="1"/>
                      <wps:spPr>
                        <a:xfrm>
                          <a:off x="0" y="0"/>
                          <a:ext cx="3272074" cy="894944"/>
                        </a:xfrm>
                        <a:prstGeom prst="rect">
                          <a:avLst/>
                        </a:prstGeom>
                        <a:noFill/>
                        <a:ln w="6350">
                          <a:noFill/>
                        </a:ln>
                      </wps:spPr>
                      <wps:txbx>
                        <w:txbxContent>
                          <w:p w:rsidR="00126954" w:rsidRPr="003E38CF" w:rsidRDefault="006F24E6" w:rsidP="003E38CF">
                            <w:pPr>
                              <w:rPr>
                                <w:color w:val="402880"/>
                                <w:sz w:val="16"/>
                                <w:szCs w:val="16"/>
                              </w:rPr>
                            </w:pPr>
                            <w:r>
                              <w:rPr>
                                <w:color w:val="402880"/>
                                <w:sz w:val="16"/>
                                <w:szCs w:val="16"/>
                              </w:rPr>
                              <w:t>Januar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6F0E199" id="_x0000_t202" coordsize="21600,21600" o:spt="202" path="m,l,21600r21600,l21600,xe">
                <v:stroke joinstyle="miter"/>
                <v:path gradientshapeok="t" o:connecttype="rect"/>
              </v:shapetype>
              <v:shape id="Text Box 4" o:spid="_x0000_s1027" type="#_x0000_t202" style="position:absolute;left:0;text-align:left;margin-left:99.25pt;margin-top:672.95pt;width:257.65pt;height:7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" filled="f" stroked="f" strokeweight=".5pt">
                <v:textbox style="mso-fit-shape-to-text:t" inset="0,0,0,0">
                  <w:txbxContent>
                    <w:p w:rsidR="00126954" w:rsidRPr="003E38CF" w:rsidRDefault="006F24E6" w:rsidP="003E38CF">
                      <w:pPr>
                        <w:rPr>
                          <w:color w:val="402880"/>
                          <w:sz w:val="16"/>
                          <w:szCs w:val="16"/>
                        </w:rPr>
                      </w:pPr>
                      <w:r>
                        <w:rPr>
                          <w:color w:val="402880"/>
                          <w:sz w:val="16"/>
                          <w:szCs w:val="16"/>
                        </w:rPr>
                        <w:t>Januar 2024</w:t>
                      </w:r>
                    </w:p>
                  </w:txbxContent>
                </v:textbox>
              </v:shape>
            </w:pict>
          </mc:Fallback>
        </mc:AlternateContent>
      </w:r>
      <w:r w:rsidR="003E38CF">
        <w:br w:type="page"/>
      </w:r>
    </w:p>
    <w:bookmarkStart w:id="0" w:name="_Toc527983207" w:displacedByCustomXml="next"/>
    <w:sdt>
      <w:sdtPr>
        <w:rPr>
          <w:rFonts w:asciiTheme="minorHAnsi" w:eastAsiaTheme="minorHAnsi" w:hAnsiTheme="minorHAnsi" w:cstheme="minorBidi"/>
          <w:color w:val="auto"/>
          <w:sz w:val="20"/>
          <w:szCs w:val="24"/>
          <w:lang w:eastAsia="en-US"/>
        </w:rPr>
        <w:id w:val="495689370"/>
        <w:docPartObj>
          <w:docPartGallery w:val="Table of Contents"/>
          <w:docPartUnique/>
        </w:docPartObj>
      </w:sdtPr>
      <w:sdtEndPr>
        <w:rPr>
          <w:b/>
          <w:bCs/>
        </w:rPr>
      </w:sdtEndPr>
      <w:sdtContent>
        <w:p w:rsidR="00A47920" w:rsidRPr="00A47920" w:rsidRDefault="00A47920">
          <w:pPr>
            <w:pStyle w:val="Overskrift"/>
            <w:rPr>
              <w:rStyle w:val="Overskrift1Tegn"/>
              <w:color w:val="auto"/>
            </w:rPr>
          </w:pPr>
          <w:r w:rsidRPr="00A47920">
            <w:rPr>
              <w:rStyle w:val="Overskrift1Tegn"/>
              <w:color w:val="auto"/>
            </w:rPr>
            <w:t>Indhold</w:t>
          </w:r>
        </w:p>
        <w:p w:rsidR="00A47920" w:rsidRDefault="00A47920" w:rsidP="00A47920">
          <w:pPr>
            <w:rPr>
              <w:lang w:eastAsia="da-DK"/>
            </w:rPr>
          </w:pPr>
        </w:p>
        <w:p w:rsidR="00A47920" w:rsidRDefault="00A47920" w:rsidP="00A47920">
          <w:pPr>
            <w:rPr>
              <w:lang w:eastAsia="da-DK"/>
            </w:rPr>
          </w:pPr>
        </w:p>
        <w:p w:rsidR="00A47920" w:rsidRDefault="00A47920" w:rsidP="00A47920">
          <w:pPr>
            <w:rPr>
              <w:lang w:eastAsia="da-DK"/>
            </w:rPr>
          </w:pPr>
        </w:p>
        <w:p w:rsidR="00A47920" w:rsidRPr="00A47920" w:rsidRDefault="00A47920" w:rsidP="00A47920">
          <w:pPr>
            <w:rPr>
              <w:lang w:eastAsia="da-DK"/>
            </w:rPr>
          </w:pPr>
        </w:p>
        <w:p w:rsidR="00105F3D" w:rsidRDefault="00A47920">
          <w:pPr>
            <w:pStyle w:val="Indholdsfortegnelse1"/>
            <w:tabs>
              <w:tab w:val="right" w:leader="dot" w:pos="6503"/>
            </w:tabs>
            <w:rPr>
              <w:rFonts w:eastAsiaTheme="minorEastAsia"/>
              <w:noProof/>
              <w:sz w:val="22"/>
              <w:szCs w:val="22"/>
              <w:lang w:eastAsia="da-DK"/>
            </w:rPr>
          </w:pPr>
          <w:r>
            <w:rPr>
              <w:b/>
              <w:bCs/>
            </w:rPr>
            <w:fldChar w:fldCharType="begin"/>
          </w:r>
          <w:r>
            <w:rPr>
              <w:b/>
              <w:bCs/>
            </w:rPr>
            <w:instrText xml:space="preserve"> TOC \o "1-3" \h \z \u </w:instrText>
          </w:r>
          <w:r>
            <w:rPr>
              <w:b/>
              <w:bCs/>
            </w:rPr>
            <w:fldChar w:fldCharType="separate"/>
          </w:r>
          <w:hyperlink w:anchor="_Toc129076053" w:history="1">
            <w:r w:rsidR="00105F3D" w:rsidRPr="001D344A">
              <w:rPr>
                <w:rStyle w:val="Hyperlink"/>
                <w:noProof/>
              </w:rPr>
              <w:t>Indledning</w:t>
            </w:r>
            <w:r w:rsidR="00105F3D">
              <w:rPr>
                <w:noProof/>
                <w:webHidden/>
              </w:rPr>
              <w:tab/>
            </w:r>
            <w:r w:rsidR="00105F3D">
              <w:rPr>
                <w:noProof/>
                <w:webHidden/>
              </w:rPr>
              <w:fldChar w:fldCharType="begin"/>
            </w:r>
            <w:r w:rsidR="00105F3D">
              <w:rPr>
                <w:noProof/>
                <w:webHidden/>
              </w:rPr>
              <w:instrText xml:space="preserve"> PAGEREF _Toc129076053 \h </w:instrText>
            </w:r>
            <w:r w:rsidR="00105F3D">
              <w:rPr>
                <w:noProof/>
                <w:webHidden/>
              </w:rPr>
            </w:r>
            <w:r w:rsidR="00105F3D">
              <w:rPr>
                <w:noProof/>
                <w:webHidden/>
              </w:rPr>
              <w:fldChar w:fldCharType="separate"/>
            </w:r>
            <w:r w:rsidR="00105F3D">
              <w:rPr>
                <w:noProof/>
                <w:webHidden/>
              </w:rPr>
              <w:t>3</w:t>
            </w:r>
            <w:r w:rsidR="00105F3D">
              <w:rPr>
                <w:noProof/>
                <w:webHidden/>
              </w:rPr>
              <w:fldChar w:fldCharType="end"/>
            </w:r>
          </w:hyperlink>
        </w:p>
        <w:p w:rsidR="00105F3D" w:rsidRDefault="00C71DB7">
          <w:pPr>
            <w:pStyle w:val="Indholdsfortegnelse1"/>
            <w:tabs>
              <w:tab w:val="right" w:leader="dot" w:pos="6503"/>
            </w:tabs>
            <w:rPr>
              <w:rFonts w:eastAsiaTheme="minorEastAsia"/>
              <w:noProof/>
              <w:sz w:val="22"/>
              <w:szCs w:val="22"/>
              <w:lang w:eastAsia="da-DK"/>
            </w:rPr>
          </w:pPr>
          <w:hyperlink w:anchor="_Toc129076054" w:history="1">
            <w:r w:rsidR="00105F3D" w:rsidRPr="001D344A">
              <w:rPr>
                <w:rStyle w:val="Hyperlink"/>
                <w:rFonts w:cstheme="minorHAnsi"/>
                <w:noProof/>
              </w:rPr>
              <w:t>Tilsynsaktiviteter</w:t>
            </w:r>
            <w:r w:rsidR="00105F3D">
              <w:rPr>
                <w:noProof/>
                <w:webHidden/>
              </w:rPr>
              <w:tab/>
            </w:r>
            <w:r w:rsidR="00105F3D">
              <w:rPr>
                <w:noProof/>
                <w:webHidden/>
              </w:rPr>
              <w:fldChar w:fldCharType="begin"/>
            </w:r>
            <w:r w:rsidR="00105F3D">
              <w:rPr>
                <w:noProof/>
                <w:webHidden/>
              </w:rPr>
              <w:instrText xml:space="preserve"> PAGEREF _Toc129076054 \h </w:instrText>
            </w:r>
            <w:r w:rsidR="00105F3D">
              <w:rPr>
                <w:noProof/>
                <w:webHidden/>
              </w:rPr>
            </w:r>
            <w:r w:rsidR="00105F3D">
              <w:rPr>
                <w:noProof/>
                <w:webHidden/>
              </w:rPr>
              <w:fldChar w:fldCharType="separate"/>
            </w:r>
            <w:r w:rsidR="00105F3D">
              <w:rPr>
                <w:noProof/>
                <w:webHidden/>
              </w:rPr>
              <w:t>4</w:t>
            </w:r>
            <w:r w:rsidR="00105F3D">
              <w:rPr>
                <w:noProof/>
                <w:webHidden/>
              </w:rPr>
              <w:fldChar w:fldCharType="end"/>
            </w:r>
          </w:hyperlink>
        </w:p>
        <w:p w:rsidR="00105F3D" w:rsidRDefault="00C71DB7">
          <w:pPr>
            <w:pStyle w:val="Indholdsfortegnelse2"/>
            <w:tabs>
              <w:tab w:val="right" w:leader="dot" w:pos="6503"/>
            </w:tabs>
            <w:rPr>
              <w:rFonts w:eastAsiaTheme="minorEastAsia"/>
              <w:noProof/>
              <w:sz w:val="22"/>
              <w:szCs w:val="22"/>
              <w:lang w:eastAsia="da-DK"/>
            </w:rPr>
          </w:pPr>
          <w:hyperlink w:anchor="_Toc129076055" w:history="1">
            <w:r w:rsidR="00105F3D" w:rsidRPr="001D344A">
              <w:rPr>
                <w:rStyle w:val="Hyperlink"/>
                <w:rFonts w:cstheme="minorHAnsi"/>
                <w:noProof/>
              </w:rPr>
              <w:t>Generelle tilsynsområder</w:t>
            </w:r>
            <w:r w:rsidR="00105F3D">
              <w:rPr>
                <w:noProof/>
                <w:webHidden/>
              </w:rPr>
              <w:tab/>
            </w:r>
            <w:r w:rsidR="00105F3D">
              <w:rPr>
                <w:noProof/>
                <w:webHidden/>
              </w:rPr>
              <w:fldChar w:fldCharType="begin"/>
            </w:r>
            <w:r w:rsidR="00105F3D">
              <w:rPr>
                <w:noProof/>
                <w:webHidden/>
              </w:rPr>
              <w:instrText xml:space="preserve"> PAGEREF _Toc129076055 \h </w:instrText>
            </w:r>
            <w:r w:rsidR="00105F3D">
              <w:rPr>
                <w:noProof/>
                <w:webHidden/>
              </w:rPr>
            </w:r>
            <w:r w:rsidR="00105F3D">
              <w:rPr>
                <w:noProof/>
                <w:webHidden/>
              </w:rPr>
              <w:fldChar w:fldCharType="separate"/>
            </w:r>
            <w:r w:rsidR="00105F3D">
              <w:rPr>
                <w:noProof/>
                <w:webHidden/>
              </w:rPr>
              <w:t>4</w:t>
            </w:r>
            <w:r w:rsidR="00105F3D">
              <w:rPr>
                <w:noProof/>
                <w:webHidden/>
              </w:rPr>
              <w:fldChar w:fldCharType="end"/>
            </w:r>
          </w:hyperlink>
        </w:p>
        <w:p w:rsidR="00105F3D" w:rsidRDefault="00C71DB7">
          <w:pPr>
            <w:pStyle w:val="Indholdsfortegnelse2"/>
            <w:tabs>
              <w:tab w:val="right" w:leader="dot" w:pos="6503"/>
            </w:tabs>
            <w:rPr>
              <w:rFonts w:eastAsiaTheme="minorEastAsia"/>
              <w:noProof/>
              <w:sz w:val="22"/>
              <w:szCs w:val="22"/>
              <w:lang w:eastAsia="da-DK"/>
            </w:rPr>
          </w:pPr>
          <w:hyperlink w:anchor="_Toc129076056" w:history="1">
            <w:r w:rsidR="00105F3D" w:rsidRPr="001D344A">
              <w:rPr>
                <w:rStyle w:val="Hyperlink"/>
                <w:rFonts w:cstheme="minorHAnsi"/>
                <w:noProof/>
              </w:rPr>
              <w:t>Temaer</w:t>
            </w:r>
            <w:r w:rsidR="00105F3D">
              <w:rPr>
                <w:noProof/>
                <w:webHidden/>
              </w:rPr>
              <w:tab/>
            </w:r>
            <w:r w:rsidR="00105F3D">
              <w:rPr>
                <w:noProof/>
                <w:webHidden/>
              </w:rPr>
              <w:fldChar w:fldCharType="begin"/>
            </w:r>
            <w:r w:rsidR="00105F3D">
              <w:rPr>
                <w:noProof/>
                <w:webHidden/>
              </w:rPr>
              <w:instrText xml:space="preserve"> PAGEREF _Toc129076056 \h </w:instrText>
            </w:r>
            <w:r w:rsidR="00105F3D">
              <w:rPr>
                <w:noProof/>
                <w:webHidden/>
              </w:rPr>
            </w:r>
            <w:r w:rsidR="00105F3D">
              <w:rPr>
                <w:noProof/>
                <w:webHidden/>
              </w:rPr>
              <w:fldChar w:fldCharType="separate"/>
            </w:r>
            <w:r w:rsidR="00105F3D">
              <w:rPr>
                <w:noProof/>
                <w:webHidden/>
              </w:rPr>
              <w:t>5</w:t>
            </w:r>
            <w:r w:rsidR="00105F3D">
              <w:rPr>
                <w:noProof/>
                <w:webHidden/>
              </w:rPr>
              <w:fldChar w:fldCharType="end"/>
            </w:r>
          </w:hyperlink>
        </w:p>
        <w:p w:rsidR="00A47920" w:rsidRDefault="00A47920">
          <w:r>
            <w:rPr>
              <w:b/>
              <w:bCs/>
            </w:rPr>
            <w:fldChar w:fldCharType="end"/>
          </w:r>
        </w:p>
      </w:sdtContent>
    </w:sdt>
    <w:p w:rsidR="00A47920" w:rsidRDefault="00A47920">
      <w:pPr>
        <w:spacing w:line="240" w:lineRule="auto"/>
        <w:jc w:val="left"/>
        <w:rPr>
          <w:rFonts w:asciiTheme="majorHAnsi" w:eastAsiaTheme="majorEastAsia" w:hAnsiTheme="majorHAnsi" w:cstheme="majorBidi"/>
          <w:b/>
          <w:sz w:val="34"/>
          <w:szCs w:val="32"/>
        </w:rPr>
      </w:pPr>
      <w:r>
        <w:br w:type="page"/>
      </w:r>
    </w:p>
    <w:p w:rsidR="00662D09" w:rsidRDefault="00662D09" w:rsidP="00662D09">
      <w:pPr>
        <w:pStyle w:val="Overskrift1"/>
      </w:pPr>
      <w:bookmarkStart w:id="1" w:name="_Toc129076053"/>
      <w:r>
        <w:lastRenderedPageBreak/>
        <w:t>Indledning</w:t>
      </w:r>
      <w:bookmarkEnd w:id="1"/>
      <w:bookmarkEnd w:id="0"/>
    </w:p>
    <w:p w:rsidR="00CE2A84" w:rsidRPr="007E52D1" w:rsidRDefault="00CE2A84" w:rsidP="00CE2A84">
      <w:r w:rsidRPr="007E52D1">
        <w:t>Ankla</w:t>
      </w:r>
      <w:r>
        <w:t xml:space="preserve">gemyndigheden arbejder for at skabe retssikkerhed og tryghed samt </w:t>
      </w:r>
      <w:r w:rsidRPr="007E52D1">
        <w:t xml:space="preserve">sikre, at straffesager </w:t>
      </w:r>
      <w:r>
        <w:t xml:space="preserve">altid </w:t>
      </w:r>
      <w:r w:rsidRPr="007E52D1">
        <w:t>bliver behandlet på en retfærdig måde.</w:t>
      </w:r>
    </w:p>
    <w:p w:rsidR="00CE2A84" w:rsidRPr="007E52D1" w:rsidRDefault="00CE2A84" w:rsidP="00CE2A84"/>
    <w:p w:rsidR="00CE2A84" w:rsidRDefault="00CE2A84" w:rsidP="00CE2A84">
      <w:r w:rsidRPr="007E52D1">
        <w:t xml:space="preserve">Tilsynet med politiets og anklagemyndighedens straffesagsbehandling skal bidrage </w:t>
      </w:r>
      <w:r>
        <w:t>til dette arbejde ved</w:t>
      </w:r>
      <w:r w:rsidRPr="00A34449">
        <w:t xml:space="preserve"> at sikre </w:t>
      </w:r>
      <w:r>
        <w:t xml:space="preserve">den nødvendige høje </w:t>
      </w:r>
      <w:r w:rsidRPr="00A34449">
        <w:t>kvalitet, legalitet og effektivitet i</w:t>
      </w:r>
      <w:r>
        <w:t xml:space="preserve"> </w:t>
      </w:r>
      <w:r w:rsidRPr="00A34449">
        <w:t>straffesagsbehandlingen.</w:t>
      </w:r>
    </w:p>
    <w:p w:rsidR="00CE2A84" w:rsidRPr="00347119" w:rsidRDefault="00CE2A84" w:rsidP="00CE2A84">
      <w:pPr>
        <w:rPr>
          <w:rFonts w:cstheme="minorHAnsi"/>
        </w:rPr>
      </w:pPr>
    </w:p>
    <w:p w:rsidR="00CE2A84" w:rsidRPr="00347119" w:rsidRDefault="00CE2A84" w:rsidP="00CE2A84">
      <w:pPr>
        <w:rPr>
          <w:rFonts w:cstheme="minorHAnsi"/>
        </w:rPr>
      </w:pPr>
      <w:r w:rsidRPr="00347119">
        <w:rPr>
          <w:rFonts w:cstheme="minorHAnsi"/>
        </w:rPr>
        <w:t xml:space="preserve">Anklagemyndigheden skal gennem sit tilsyn sikre: </w:t>
      </w:r>
    </w:p>
    <w:p w:rsidR="00CE2A84" w:rsidRPr="00347119" w:rsidRDefault="00CE2A84" w:rsidP="00CE2A84">
      <w:pPr>
        <w:rPr>
          <w:rFonts w:cstheme="minorHAnsi"/>
        </w:rPr>
      </w:pPr>
    </w:p>
    <w:p w:rsidR="00CE2A84" w:rsidRPr="00347119" w:rsidRDefault="00CE2A84" w:rsidP="00CE2A84">
      <w:pPr>
        <w:pStyle w:val="Listeafsnit"/>
        <w:numPr>
          <w:ilvl w:val="0"/>
          <w:numId w:val="2"/>
        </w:numPr>
        <w:spacing w:line="264" w:lineRule="auto"/>
        <w:ind w:left="720"/>
        <w:contextualSpacing/>
        <w:rPr>
          <w:rFonts w:asciiTheme="minorHAnsi" w:hAnsiTheme="minorHAnsi" w:cstheme="minorHAnsi"/>
          <w:b/>
          <w:sz w:val="20"/>
        </w:rPr>
      </w:pPr>
      <w:r w:rsidRPr="00347119">
        <w:rPr>
          <w:rFonts w:asciiTheme="minorHAnsi" w:hAnsiTheme="minorHAnsi" w:cstheme="minorHAnsi"/>
          <w:i/>
          <w:sz w:val="20"/>
        </w:rPr>
        <w:t>at</w:t>
      </w:r>
      <w:r w:rsidRPr="00347119">
        <w:rPr>
          <w:rFonts w:asciiTheme="minorHAnsi" w:hAnsiTheme="minorHAnsi" w:cstheme="minorHAnsi"/>
          <w:sz w:val="20"/>
        </w:rPr>
        <w:t xml:space="preserve"> politiets og anklagemyndighedens behandling af straffesager er fagligt korrekt og sker på en ensartet måde, </w:t>
      </w:r>
    </w:p>
    <w:p w:rsidR="00CE2A84" w:rsidRPr="00347119" w:rsidRDefault="00CE2A84" w:rsidP="00CE2A84">
      <w:pPr>
        <w:pStyle w:val="Listeafsnit"/>
        <w:numPr>
          <w:ilvl w:val="0"/>
          <w:numId w:val="2"/>
        </w:numPr>
        <w:spacing w:line="264" w:lineRule="auto"/>
        <w:ind w:left="720"/>
        <w:contextualSpacing/>
        <w:rPr>
          <w:rFonts w:asciiTheme="minorHAnsi" w:hAnsiTheme="minorHAnsi" w:cstheme="minorHAnsi"/>
          <w:b/>
          <w:sz w:val="20"/>
        </w:rPr>
      </w:pPr>
      <w:r w:rsidRPr="00347119">
        <w:rPr>
          <w:rFonts w:asciiTheme="minorHAnsi" w:hAnsiTheme="minorHAnsi" w:cstheme="minorHAnsi"/>
          <w:i/>
          <w:sz w:val="20"/>
        </w:rPr>
        <w:t>at</w:t>
      </w:r>
      <w:r w:rsidRPr="00347119">
        <w:rPr>
          <w:rFonts w:asciiTheme="minorHAnsi" w:hAnsiTheme="minorHAnsi" w:cstheme="minorHAnsi"/>
          <w:sz w:val="20"/>
        </w:rPr>
        <w:t xml:space="preserve"> afgørelser og beslutninger træffes på et objektivt og sagligt grundlag under iagttagelse af gældende regler, og  </w:t>
      </w:r>
    </w:p>
    <w:p w:rsidR="00CE2A84" w:rsidRPr="00347119" w:rsidRDefault="00CE2A84" w:rsidP="00CE2A84">
      <w:pPr>
        <w:pStyle w:val="Listeafsnit"/>
        <w:numPr>
          <w:ilvl w:val="0"/>
          <w:numId w:val="2"/>
        </w:numPr>
        <w:spacing w:line="264" w:lineRule="auto"/>
        <w:ind w:left="720"/>
        <w:contextualSpacing/>
        <w:rPr>
          <w:rFonts w:asciiTheme="minorHAnsi" w:hAnsiTheme="minorHAnsi" w:cstheme="minorHAnsi"/>
          <w:b/>
          <w:sz w:val="20"/>
        </w:rPr>
      </w:pPr>
      <w:r w:rsidRPr="00347119">
        <w:rPr>
          <w:rFonts w:asciiTheme="minorHAnsi" w:hAnsiTheme="minorHAnsi" w:cstheme="minorHAnsi"/>
          <w:i/>
          <w:sz w:val="20"/>
        </w:rPr>
        <w:t>at</w:t>
      </w:r>
      <w:r w:rsidRPr="00347119">
        <w:rPr>
          <w:rFonts w:asciiTheme="minorHAnsi" w:hAnsiTheme="minorHAnsi" w:cstheme="minorHAnsi"/>
          <w:sz w:val="20"/>
        </w:rPr>
        <w:t xml:space="preserve"> enhver sag behandles så grundigt og hurtigt som muligt i lyset af den enkelte sags omfang, karakter og grovhed – samt i overensstemmelse med generelle tværgående prioriteringer.</w:t>
      </w:r>
    </w:p>
    <w:p w:rsidR="00CE2A84" w:rsidRPr="00347119" w:rsidRDefault="00CE2A84" w:rsidP="00CE2A84">
      <w:pPr>
        <w:rPr>
          <w:rFonts w:cstheme="minorHAnsi"/>
        </w:rPr>
      </w:pPr>
    </w:p>
    <w:p w:rsidR="00CE2A84" w:rsidRDefault="00CE2A84" w:rsidP="00CE2A84">
      <w:r w:rsidRPr="001C4008">
        <w:t xml:space="preserve">Tilsynsplanen fungerer som overordnet </w:t>
      </w:r>
      <w:r>
        <w:t xml:space="preserve">strategisk </w:t>
      </w:r>
      <w:r w:rsidRPr="001C4008">
        <w:t>styringsinstrument for anklagem</w:t>
      </w:r>
      <w:r>
        <w:t>yndig</w:t>
      </w:r>
      <w:r>
        <w:softHyphen/>
        <w:t xml:space="preserve">hedens tilsynsarbejde. Tilsynsplanen beskriver </w:t>
      </w:r>
      <w:r w:rsidRPr="001C4008">
        <w:t>anklagem</w:t>
      </w:r>
      <w:r>
        <w:t>yndig</w:t>
      </w:r>
      <w:r>
        <w:softHyphen/>
        <w:t xml:space="preserve">hedens overordnede tilsynsaktiviteter i form af de </w:t>
      </w:r>
      <w:r w:rsidRPr="001C4008">
        <w:t>generelle tilsynsområder</w:t>
      </w:r>
      <w:r>
        <w:t xml:space="preserve"> og temaer, der</w:t>
      </w:r>
      <w:r w:rsidRPr="001C4008">
        <w:t xml:space="preserve"> </w:t>
      </w:r>
      <w:r>
        <w:t>aktuelt indgår i tilsynet</w:t>
      </w:r>
      <w:r w:rsidRPr="001C4008">
        <w:t>.</w:t>
      </w:r>
      <w:r>
        <w:t xml:space="preserve"> </w:t>
      </w:r>
    </w:p>
    <w:p w:rsidR="00CE2A84" w:rsidRDefault="00CE2A84" w:rsidP="00CE2A84"/>
    <w:p w:rsidR="00CE2A84" w:rsidRPr="00770D99" w:rsidRDefault="00CE2A84" w:rsidP="00CE2A84">
      <w:r>
        <w:t>T</w:t>
      </w:r>
      <w:r w:rsidRPr="001C4008">
        <w:t xml:space="preserve">ilsynsplanen </w:t>
      </w:r>
      <w:r>
        <w:t xml:space="preserve">er dynamisk og justeres </w:t>
      </w:r>
      <w:r w:rsidRPr="001C4008">
        <w:t xml:space="preserve">løbende </w:t>
      </w:r>
      <w:r>
        <w:t xml:space="preserve">bl.a. </w:t>
      </w:r>
      <w:r w:rsidRPr="001C4008">
        <w:t>med henblik på at tilpasse planen i forhold til risikobilledet</w:t>
      </w:r>
      <w:r>
        <w:t xml:space="preserve">. Nye tilsynsområder og aktiviteter inddrages ud fra en vurdering af risiko og væsentlighed. Samtidig vil temaer og generelle tilsynsområder udgå af planen, når de er gennemført eller ikke længere vurderes aktuelle.  </w:t>
      </w:r>
    </w:p>
    <w:p w:rsidR="00CE2A84" w:rsidRPr="001C4008" w:rsidRDefault="00CE2A84" w:rsidP="00CE2A84">
      <w:pPr>
        <w:rPr>
          <w:b/>
        </w:rPr>
      </w:pPr>
    </w:p>
    <w:p w:rsidR="00CE2A84" w:rsidRPr="001C4008" w:rsidRDefault="00CE2A84" w:rsidP="00CE2A84">
      <w:pPr>
        <w:rPr>
          <w:b/>
        </w:rPr>
      </w:pPr>
      <w:r w:rsidRPr="001C4008">
        <w:t>Ved siden af de tværgående</w:t>
      </w:r>
      <w:r>
        <w:t>,</w:t>
      </w:r>
      <w:r w:rsidRPr="001C4008">
        <w:t xml:space="preserve"> tematiserede tilsyn og de generelle tilsynsområder foregår det lokale tilsyn, der er politikredsens egen løbende kvalitets- og legalitetskontrol. Det lokale tilsyn spiller en helt central rolle i forhold til de straffesager, der bliver behandlet i kredsen, og skal bidrage til at sikre, at de materielle regler til enhver tid efterleves</w:t>
      </w:r>
      <w:r>
        <w:t xml:space="preserve">, og at fastsatte kvalitets-, </w:t>
      </w:r>
      <w:r w:rsidRPr="001C4008">
        <w:t>legalitets</w:t>
      </w:r>
      <w:r>
        <w:t>- og effektivitets</w:t>
      </w:r>
      <w:r w:rsidRPr="001C4008">
        <w:t xml:space="preserve">krav overholdes. </w:t>
      </w:r>
      <w:r>
        <w:t>S</w:t>
      </w:r>
      <w:r w:rsidRPr="001C4008">
        <w:t>tatsadvokater</w:t>
      </w:r>
      <w:r>
        <w:t>ne</w:t>
      </w:r>
      <w:r w:rsidRPr="001C4008">
        <w:t xml:space="preserve"> fører løbende tilsyn med politikredsenes straffesags</w:t>
      </w:r>
      <w:r w:rsidRPr="001C4008">
        <w:softHyphen/>
        <w:t xml:space="preserve">behandling. </w:t>
      </w:r>
      <w:r w:rsidR="00D55102">
        <w:t>Statsadvokaten i</w:t>
      </w:r>
      <w:r>
        <w:t xml:space="preserve"> København fører tilsyn med Færøernes Politi</w:t>
      </w:r>
      <w:r w:rsidR="00C71DB7">
        <w:t xml:space="preserve"> og med Grønlands Politi</w:t>
      </w:r>
      <w:r>
        <w:t>.</w:t>
      </w:r>
      <w:r w:rsidRPr="001C4008">
        <w:t xml:space="preserve">   </w:t>
      </w:r>
    </w:p>
    <w:p w:rsidR="00CE2A84" w:rsidRDefault="00CE2A84" w:rsidP="00CE2A84"/>
    <w:p w:rsidR="00CE2A84" w:rsidRPr="001C4008" w:rsidRDefault="00CE2A84" w:rsidP="00CE2A84">
      <w:r>
        <w:t>Rigsadvokaten fører tilsynet med statsadvokaterne</w:t>
      </w:r>
      <w:r w:rsidR="00C71DB7">
        <w:t>.</w:t>
      </w:r>
      <w:bookmarkStart w:id="2" w:name="_GoBack"/>
      <w:bookmarkEnd w:id="2"/>
      <w:r>
        <w:t xml:space="preserve">  </w:t>
      </w:r>
    </w:p>
    <w:p w:rsidR="00CE2A84" w:rsidRPr="00347119" w:rsidRDefault="00CE2A84" w:rsidP="00CE2A84">
      <w:pPr>
        <w:pStyle w:val="Overskrift1"/>
        <w:rPr>
          <w:rFonts w:asciiTheme="minorHAnsi" w:hAnsiTheme="minorHAnsi" w:cstheme="minorHAnsi"/>
        </w:rPr>
      </w:pPr>
      <w:bookmarkStart w:id="3" w:name="_Toc92190002"/>
      <w:bookmarkStart w:id="4" w:name="_Toc129076054"/>
      <w:r w:rsidRPr="00347119">
        <w:rPr>
          <w:rFonts w:asciiTheme="minorHAnsi" w:hAnsiTheme="minorHAnsi" w:cstheme="minorHAnsi"/>
        </w:rPr>
        <w:lastRenderedPageBreak/>
        <w:t>Tilsynsaktiviteter</w:t>
      </w:r>
      <w:bookmarkEnd w:id="3"/>
      <w:bookmarkEnd w:id="4"/>
    </w:p>
    <w:p w:rsidR="00CE2A84" w:rsidRPr="00347119" w:rsidRDefault="00CE2A84" w:rsidP="00CE2A84">
      <w:pPr>
        <w:pStyle w:val="Overskrift2"/>
        <w:rPr>
          <w:rFonts w:asciiTheme="minorHAnsi" w:hAnsiTheme="minorHAnsi" w:cstheme="minorHAnsi"/>
        </w:rPr>
      </w:pPr>
      <w:bookmarkStart w:id="5" w:name="_Toc92190003"/>
      <w:bookmarkStart w:id="6" w:name="_Toc129076055"/>
      <w:r w:rsidRPr="00347119">
        <w:rPr>
          <w:rFonts w:asciiTheme="minorHAnsi" w:hAnsiTheme="minorHAnsi" w:cstheme="minorHAnsi"/>
        </w:rPr>
        <w:t>Generelle tilsynsområder</w:t>
      </w:r>
      <w:bookmarkEnd w:id="5"/>
      <w:bookmarkEnd w:id="6"/>
    </w:p>
    <w:p w:rsidR="00CE2A84" w:rsidRPr="00E50364" w:rsidRDefault="00CE2A84" w:rsidP="00CE2A84">
      <w:r w:rsidRPr="00E50364">
        <w:t xml:space="preserve">Rigsadvokaten udpeger en række generelle </w:t>
      </w:r>
      <w:r>
        <w:t>tilsyns</w:t>
      </w:r>
      <w:r w:rsidRPr="00E50364">
        <w:t>områder, som er væsentlige som indikatorer i relation til kvalitet og legalitet i politiets og anklage</w:t>
      </w:r>
      <w:r w:rsidRPr="00E50364">
        <w:softHyphen/>
        <w:t xml:space="preserve">myndighedens straffesagsbehandling. De generelle tilsynsområder udvælges ud fra en vurdering af risiko og væsentlighed.  </w:t>
      </w:r>
    </w:p>
    <w:p w:rsidR="00CE2A84" w:rsidRPr="00E50364" w:rsidRDefault="00CE2A84" w:rsidP="00CE2A84"/>
    <w:p w:rsidR="00CE2A84" w:rsidRDefault="00CE2A84" w:rsidP="00CE2A84">
      <w:r w:rsidRPr="00E50364">
        <w:t xml:space="preserve">Nogle </w:t>
      </w:r>
      <w:r>
        <w:t xml:space="preserve">indikatorer </w:t>
      </w:r>
      <w:r w:rsidRPr="00E50364">
        <w:t xml:space="preserve">har en så væsentlig karakter, at de som udgangspunkt altid vil være omfattet af tilsyn. Det gælder </w:t>
      </w:r>
      <w:r>
        <w:t>f.eks.</w:t>
      </w:r>
      <w:r w:rsidRPr="00E50364">
        <w:t xml:space="preserve"> domfældelses</w:t>
      </w:r>
      <w:r w:rsidRPr="00E50364">
        <w:softHyphen/>
        <w:t>procenten,</w:t>
      </w:r>
      <w:r>
        <w:t xml:space="preserve"> omgørelses- og henlæggelsesprocenten, nøgletal for sager om personfarlig kriminalitet, </w:t>
      </w:r>
      <w:r w:rsidRPr="00E50364">
        <w:t>sagsbehandlingstiden</w:t>
      </w:r>
      <w:r>
        <w:t xml:space="preserve"> </w:t>
      </w:r>
      <w:r w:rsidRPr="00E50364">
        <w:t xml:space="preserve">og andre nøgletal for straffesagsbehandlingen. </w:t>
      </w:r>
      <w:r>
        <w:t>Desuden indgår i det generelle tilsyn også langvarige varetægtsfængslinger, isolationsfængsling, indgreb i meddelelseshemmeligheden, tilbageholdelse og enerumsanbringelse af mistænkte personer under 15 år og langvarige sigtelser.</w:t>
      </w:r>
    </w:p>
    <w:p w:rsidR="00CE2A84" w:rsidRDefault="00CE2A84" w:rsidP="00CE2A84"/>
    <w:p w:rsidR="00CE2A84" w:rsidRDefault="00CE2A84" w:rsidP="00CE2A84">
      <w:r>
        <w:t xml:space="preserve">Nøgletal leveres som udgangspunkt af Rigsadvokaten på baggrund af centrale datatræk. Rigsadvokaten vurderer – eventuelt sammen med Rigspolitiet og statsadvokaterne – om udviklingen i nøgletallene giver anledning til særlige, </w:t>
      </w:r>
      <w:proofErr w:type="spellStart"/>
      <w:r>
        <w:t>opfølgende</w:t>
      </w:r>
      <w:proofErr w:type="spellEnd"/>
      <w:r>
        <w:t xml:space="preserve"> overvejelser, analyser eller tiltag – enten generelt eller lokalt. Eventuelle </w:t>
      </w:r>
      <w:proofErr w:type="spellStart"/>
      <w:r>
        <w:t>opfølgende</w:t>
      </w:r>
      <w:proofErr w:type="spellEnd"/>
      <w:r>
        <w:t xml:space="preserve"> tiltag vil i almindelighed ske med inddragelse af statsadvokaterne og politikredsene med henblik på at få bidrag til bl.a. afklaringer, årsager samt løsningstiltag, der kan implementeres i praksis.</w:t>
      </w:r>
    </w:p>
    <w:p w:rsidR="00CE2A84" w:rsidRPr="00E50364" w:rsidRDefault="00CE2A84" w:rsidP="00CE2A84"/>
    <w:p w:rsidR="00CE2A84" w:rsidRDefault="00CE2A84" w:rsidP="00CE2A84">
      <w:pPr>
        <w:spacing w:line="240" w:lineRule="auto"/>
        <w:jc w:val="left"/>
        <w:rPr>
          <w:b/>
        </w:rPr>
      </w:pPr>
    </w:p>
    <w:p w:rsidR="00CE2A84" w:rsidRDefault="00CE2A84" w:rsidP="00CE2A84">
      <w:pPr>
        <w:spacing w:line="240" w:lineRule="auto"/>
        <w:jc w:val="left"/>
        <w:rPr>
          <w:b/>
        </w:rPr>
      </w:pPr>
      <w:r>
        <w:rPr>
          <w:b/>
        </w:rPr>
        <w:br w:type="page"/>
      </w:r>
    </w:p>
    <w:p w:rsidR="00CE2A84" w:rsidRDefault="00CE2A84" w:rsidP="00CE2A84">
      <w:pPr>
        <w:spacing w:line="240" w:lineRule="auto"/>
        <w:jc w:val="left"/>
        <w:rPr>
          <w:b/>
        </w:rPr>
      </w:pPr>
    </w:p>
    <w:p w:rsidR="00CE2A84" w:rsidRPr="00347119" w:rsidRDefault="00CE2A84" w:rsidP="00CE2A84">
      <w:pPr>
        <w:pStyle w:val="Overskrift2"/>
        <w:rPr>
          <w:rFonts w:asciiTheme="minorHAnsi" w:hAnsiTheme="minorHAnsi" w:cstheme="minorHAnsi"/>
        </w:rPr>
      </w:pPr>
      <w:bookmarkStart w:id="7" w:name="_Toc92190004"/>
      <w:bookmarkStart w:id="8" w:name="_Toc129076056"/>
      <w:r w:rsidRPr="00347119">
        <w:rPr>
          <w:rFonts w:asciiTheme="minorHAnsi" w:hAnsiTheme="minorHAnsi" w:cstheme="minorHAnsi"/>
        </w:rPr>
        <w:t>Temaer</w:t>
      </w:r>
      <w:bookmarkEnd w:id="7"/>
      <w:bookmarkEnd w:id="8"/>
    </w:p>
    <w:p w:rsidR="00CE2A84" w:rsidRPr="00347119" w:rsidRDefault="00CE2A84" w:rsidP="00CE2A84">
      <w:pPr>
        <w:spacing w:line="240" w:lineRule="auto"/>
        <w:jc w:val="left"/>
        <w:rPr>
          <w:rFonts w:cstheme="minorHAnsi"/>
          <w:szCs w:val="20"/>
        </w:rPr>
      </w:pPr>
      <w:r w:rsidRPr="00347119">
        <w:rPr>
          <w:rFonts w:cstheme="minorHAnsi"/>
          <w:szCs w:val="20"/>
        </w:rPr>
        <w:t xml:space="preserve">Rigsadvokaten identificerer løbende temaer, der skal underlægges et særligt tilsyn. </w:t>
      </w:r>
    </w:p>
    <w:p w:rsidR="00CE2A84" w:rsidRPr="00347119" w:rsidRDefault="00CE2A84" w:rsidP="00CE2A84">
      <w:pPr>
        <w:spacing w:line="240" w:lineRule="auto"/>
        <w:jc w:val="left"/>
        <w:rPr>
          <w:rFonts w:cstheme="minorHAnsi"/>
          <w:szCs w:val="20"/>
        </w:rPr>
      </w:pPr>
    </w:p>
    <w:p w:rsidR="00CE2A84" w:rsidRPr="00347119" w:rsidRDefault="00CE2A84" w:rsidP="00CE2A84">
      <w:pPr>
        <w:rPr>
          <w:rFonts w:cstheme="minorHAnsi"/>
          <w:szCs w:val="20"/>
        </w:rPr>
      </w:pPr>
      <w:r w:rsidRPr="00347119">
        <w:rPr>
          <w:rFonts w:eastAsia="Times New Roman" w:cstheme="minorHAnsi"/>
          <w:color w:val="000000"/>
          <w:szCs w:val="20"/>
          <w:lang w:eastAsia="da-DK"/>
        </w:rPr>
        <w:t>Tematiske tilsyn muliggør en målrettet og klart defineret tilsynsindsats på særlige områder.</w:t>
      </w:r>
      <w:r w:rsidRPr="00347119">
        <w:rPr>
          <w:rFonts w:cstheme="minorHAnsi"/>
          <w:szCs w:val="20"/>
        </w:rPr>
        <w:t xml:space="preserve"> </w:t>
      </w:r>
    </w:p>
    <w:p w:rsidR="00CE2A84" w:rsidRPr="00347119" w:rsidRDefault="00CE2A84" w:rsidP="00CE2A84">
      <w:pPr>
        <w:rPr>
          <w:rFonts w:cstheme="minorHAnsi"/>
          <w:szCs w:val="20"/>
        </w:rPr>
      </w:pPr>
    </w:p>
    <w:p w:rsidR="00CE2A84" w:rsidRPr="00347119" w:rsidRDefault="00CE2A84" w:rsidP="00CE2A84">
      <w:pPr>
        <w:rPr>
          <w:rFonts w:cstheme="minorHAnsi"/>
          <w:szCs w:val="20"/>
        </w:rPr>
      </w:pPr>
      <w:r w:rsidRPr="00347119">
        <w:rPr>
          <w:rFonts w:cstheme="minorHAnsi"/>
          <w:szCs w:val="20"/>
        </w:rPr>
        <w:t xml:space="preserve">Valget af temaer sker bl.a. ud fra en vurdering af væsentlighed og risiko. Det kan f.eks. være, at et område er særligt udfordret, eller at der er et politisk ønske om fokus på området. Når temaerne udpeges, fastlægges omfanget (f.eks. hvor mange politikredse der skal være omfattet af det tematiserede tilsyn) og metoden for tilsynet. Metoden vil afhænge af formålet med tilsynet, herunder hvad der skal undersøges, og hvilken effekt man vil opnå. </w:t>
      </w:r>
    </w:p>
    <w:p w:rsidR="00CE2A84" w:rsidRPr="00347119" w:rsidRDefault="00CE2A84" w:rsidP="00CE2A84">
      <w:pPr>
        <w:rPr>
          <w:rFonts w:cstheme="minorHAnsi"/>
          <w:szCs w:val="20"/>
        </w:rPr>
      </w:pPr>
    </w:p>
    <w:p w:rsidR="00CE2A84" w:rsidRPr="00347119" w:rsidRDefault="00CE2A84" w:rsidP="00CE2A84">
      <w:pPr>
        <w:rPr>
          <w:rFonts w:cstheme="minorHAnsi"/>
          <w:szCs w:val="20"/>
        </w:rPr>
      </w:pPr>
      <w:r w:rsidRPr="00347119">
        <w:rPr>
          <w:rFonts w:cstheme="minorHAnsi"/>
          <w:szCs w:val="20"/>
        </w:rPr>
        <w:t>Temaerne udmøntes i konkrete tilsynsplaner for hvert tema.</w:t>
      </w:r>
    </w:p>
    <w:p w:rsidR="00CE2A84" w:rsidRPr="00347119" w:rsidRDefault="00CE2A84" w:rsidP="00CE2A84">
      <w:pPr>
        <w:rPr>
          <w:rFonts w:cstheme="minorHAnsi"/>
          <w:szCs w:val="20"/>
        </w:rPr>
      </w:pPr>
    </w:p>
    <w:p w:rsidR="00CE2A84" w:rsidRDefault="00CE2A84" w:rsidP="00CE2A84">
      <w:pPr>
        <w:rPr>
          <w:rFonts w:cstheme="minorHAnsi"/>
          <w:szCs w:val="20"/>
        </w:rPr>
      </w:pPr>
      <w:r>
        <w:rPr>
          <w:rFonts w:cstheme="minorHAnsi"/>
          <w:szCs w:val="20"/>
        </w:rPr>
        <w:t>S</w:t>
      </w:r>
      <w:r w:rsidRPr="00347119">
        <w:rPr>
          <w:rFonts w:cstheme="minorHAnsi"/>
          <w:szCs w:val="20"/>
        </w:rPr>
        <w:t>tatsadvokater</w:t>
      </w:r>
      <w:r>
        <w:rPr>
          <w:rFonts w:cstheme="minorHAnsi"/>
          <w:szCs w:val="20"/>
        </w:rPr>
        <w:t>ne</w:t>
      </w:r>
      <w:r w:rsidRPr="00347119">
        <w:rPr>
          <w:rFonts w:cstheme="minorHAnsi"/>
          <w:szCs w:val="20"/>
        </w:rPr>
        <w:t xml:space="preserve"> udarbejder som udgangspunkt en særskilt opsamling på de enkelte tematiserede tilsyn, efterhånden som de afvikles.</w:t>
      </w:r>
    </w:p>
    <w:p w:rsidR="00677943" w:rsidRDefault="00662D09" w:rsidP="009212D8">
      <w:pPr>
        <w:spacing w:line="240" w:lineRule="auto"/>
        <w:jc w:val="left"/>
        <w:sectPr w:rsidR="00677943" w:rsidSect="00A47920">
          <w:headerReference w:type="default" r:id="rId11"/>
          <w:footerReference w:type="even" r:id="rId12"/>
          <w:footerReference w:type="default" r:id="rId13"/>
          <w:headerReference w:type="first" r:id="rId14"/>
          <w:type w:val="continuous"/>
          <w:pgSz w:w="11900" w:h="16840"/>
          <w:pgMar w:top="2041" w:right="3119" w:bottom="1746" w:left="2268" w:header="709" w:footer="709" w:gutter="0"/>
          <w:cols w:space="708"/>
          <w:titlePg/>
          <w:docGrid w:linePitch="360"/>
        </w:sectPr>
      </w:pPr>
      <w:r>
        <w:br w:type="page"/>
      </w:r>
    </w:p>
    <w:p w:rsidR="00E96FD2" w:rsidRDefault="00E96FD2" w:rsidP="001E5A4D">
      <w:pPr>
        <w:sectPr w:rsidR="00E96FD2" w:rsidSect="00C07AE6">
          <w:type w:val="continuous"/>
          <w:pgSz w:w="11900" w:h="16840"/>
          <w:pgMar w:top="2041" w:right="3119" w:bottom="1746" w:left="2268" w:header="709" w:footer="709" w:gutter="0"/>
          <w:cols w:space="708"/>
          <w:titlePg/>
          <w:docGrid w:linePitch="360"/>
        </w:sectPr>
      </w:pPr>
    </w:p>
    <w:p w:rsidR="00677943" w:rsidRPr="00677943" w:rsidRDefault="00677943" w:rsidP="00677943"/>
    <w:p w:rsidR="001E5A4D" w:rsidRPr="00677943" w:rsidRDefault="001E5A4D" w:rsidP="00677943">
      <w:pPr>
        <w:tabs>
          <w:tab w:val="left" w:pos="2385"/>
        </w:tabs>
      </w:pPr>
    </w:p>
    <w:sectPr w:rsidR="001E5A4D" w:rsidRPr="00677943" w:rsidSect="00A47920">
      <w:type w:val="continuous"/>
      <w:pgSz w:w="11900" w:h="16840"/>
      <w:pgMar w:top="2041" w:right="3119" w:bottom="1746"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A1C" w:rsidRDefault="00C63A1C" w:rsidP="003E38CF">
      <w:r>
        <w:separator/>
      </w:r>
    </w:p>
  </w:endnote>
  <w:endnote w:type="continuationSeparator" w:id="0">
    <w:p w:rsidR="00C63A1C" w:rsidRDefault="00C63A1C" w:rsidP="003E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erif B Std Book">
    <w:altName w:val="Fedra Serif B Std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565261732"/>
      <w:docPartObj>
        <w:docPartGallery w:val="Page Numbers (Bottom of Page)"/>
        <w:docPartUnique/>
      </w:docPartObj>
    </w:sdtPr>
    <w:sdtEndPr>
      <w:rPr>
        <w:rStyle w:val="Sidetal"/>
      </w:rPr>
    </w:sdtEndPr>
    <w:sdtContent>
      <w:p w:rsidR="00126954" w:rsidRDefault="00126954" w:rsidP="004716F8">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126954" w:rsidRDefault="00126954" w:rsidP="00EB3CA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1487934311"/>
      <w:docPartObj>
        <w:docPartGallery w:val="Page Numbers (Bottom of Page)"/>
        <w:docPartUnique/>
      </w:docPartObj>
    </w:sdtPr>
    <w:sdtEndPr>
      <w:rPr>
        <w:rStyle w:val="Sidetal"/>
      </w:rPr>
    </w:sdtEndPr>
    <w:sdtContent>
      <w:p w:rsidR="00126954" w:rsidRDefault="00126954" w:rsidP="00EB3CA2">
        <w:pPr>
          <w:pStyle w:val="Sidefod"/>
          <w:framePr w:wrap="notBeside" w:vAnchor="text" w:hAnchor="page" w:x="10491" w:y="29"/>
          <w:rPr>
            <w:rStyle w:val="Sidetal"/>
          </w:rPr>
        </w:pPr>
        <w:r w:rsidRPr="00EB3CA2">
          <w:rPr>
            <w:rStyle w:val="Sidetal"/>
            <w:color w:val="auto"/>
            <w:sz w:val="18"/>
            <w:szCs w:val="18"/>
          </w:rPr>
          <w:fldChar w:fldCharType="begin"/>
        </w:r>
        <w:r w:rsidRPr="00EB3CA2">
          <w:rPr>
            <w:rStyle w:val="Sidetal"/>
            <w:color w:val="auto"/>
            <w:sz w:val="18"/>
            <w:szCs w:val="18"/>
          </w:rPr>
          <w:instrText xml:space="preserve"> PAGE </w:instrText>
        </w:r>
        <w:r w:rsidRPr="00EB3CA2">
          <w:rPr>
            <w:rStyle w:val="Sidetal"/>
            <w:color w:val="auto"/>
            <w:sz w:val="18"/>
            <w:szCs w:val="18"/>
          </w:rPr>
          <w:fldChar w:fldCharType="separate"/>
        </w:r>
        <w:r w:rsidR="00C71DB7">
          <w:rPr>
            <w:rStyle w:val="Sidetal"/>
            <w:noProof/>
            <w:color w:val="auto"/>
            <w:sz w:val="18"/>
            <w:szCs w:val="18"/>
          </w:rPr>
          <w:t>5</w:t>
        </w:r>
        <w:r w:rsidRPr="00EB3CA2">
          <w:rPr>
            <w:rStyle w:val="Sidetal"/>
            <w:color w:val="auto"/>
            <w:sz w:val="18"/>
            <w:szCs w:val="18"/>
          </w:rPr>
          <w:fldChar w:fldCharType="end"/>
        </w:r>
      </w:p>
    </w:sdtContent>
  </w:sdt>
  <w:p w:rsidR="00126954" w:rsidRDefault="00126954" w:rsidP="00EB3CA2">
    <w:pPr>
      <w:pStyle w:val="Sidefod"/>
      <w:ind w:right="360"/>
    </w:pPr>
    <w:r>
      <w:rPr>
        <w:noProof/>
        <w:lang w:eastAsia="da-DK"/>
      </w:rPr>
      <w:drawing>
        <wp:anchor distT="0" distB="0" distL="114300" distR="114300" simplePos="0" relativeHeight="251662336" behindDoc="1" locked="0" layoutInCell="1" allowOverlap="1" wp14:anchorId="46F0E1A7" wp14:editId="46F0E1A8">
          <wp:simplePos x="0" y="0"/>
          <wp:positionH relativeFrom="page">
            <wp:posOffset>6046470</wp:posOffset>
          </wp:positionH>
          <wp:positionV relativeFrom="page">
            <wp:posOffset>9180618</wp:posOffset>
          </wp:positionV>
          <wp:extent cx="687600" cy="316800"/>
          <wp:effectExtent l="0" t="0" r="0" b="127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sser 1.png"/>
                  <pic:cNvPicPr/>
                </pic:nvPicPr>
                <pic:blipFill>
                  <a:blip r:embed="rId1">
                    <a:extLst>
                      <a:ext uri="{28A0092B-C50C-407E-A947-70E740481C1C}">
                        <a14:useLocalDpi xmlns:a14="http://schemas.microsoft.com/office/drawing/2010/main" val="0"/>
                      </a:ext>
                    </a:extLst>
                  </a:blip>
                  <a:stretch>
                    <a:fillRect/>
                  </a:stretch>
                </pic:blipFill>
                <pic:spPr>
                  <a:xfrm>
                    <a:off x="0" y="0"/>
                    <a:ext cx="687600" cy="316800"/>
                  </a:xfrm>
                  <a:prstGeom prst="rect">
                    <a:avLst/>
                  </a:prstGeom>
                </pic:spPr>
              </pic:pic>
            </a:graphicData>
          </a:graphic>
          <wp14:sizeRelH relativeFrom="margin">
            <wp14:pctWidth>0</wp14:pctWidth>
          </wp14:sizeRelH>
          <wp14:sizeRelV relativeFrom="margin">
            <wp14:pctHeight>0</wp14:pctHeight>
          </wp14:sizeRelV>
        </wp:anchor>
      </w:drawing>
    </w:r>
    <w:r>
      <w:t>Tilsynsplan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A1C" w:rsidRDefault="00C63A1C" w:rsidP="003E38CF">
      <w:r>
        <w:separator/>
      </w:r>
    </w:p>
  </w:footnote>
  <w:footnote w:type="continuationSeparator" w:id="0">
    <w:p w:rsidR="00C63A1C" w:rsidRDefault="00C63A1C" w:rsidP="003E3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54" w:rsidRDefault="00126954">
    <w:pPr>
      <w:pStyle w:val="Sidehoved"/>
    </w:pPr>
    <w:r>
      <w:rPr>
        <w:noProof/>
        <w:lang w:eastAsia="da-DK"/>
      </w:rPr>
      <w:drawing>
        <wp:anchor distT="0" distB="0" distL="114300" distR="114300" simplePos="0" relativeHeight="251661312" behindDoc="1" locked="0" layoutInCell="1" allowOverlap="1" wp14:anchorId="46F0E1A5" wp14:editId="46F0E1A6">
          <wp:simplePos x="0" y="0"/>
          <wp:positionH relativeFrom="page">
            <wp:posOffset>5567680</wp:posOffset>
          </wp:positionH>
          <wp:positionV relativeFrom="page">
            <wp:posOffset>0</wp:posOffset>
          </wp:positionV>
          <wp:extent cx="1980000" cy="1155600"/>
          <wp:effectExtent l="0" t="0" r="1270" b="63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80000" cy="115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54" w:rsidRDefault="00126954">
    <w:pPr>
      <w:pStyle w:val="Sidehoved"/>
    </w:pPr>
    <w:r>
      <w:rPr>
        <w:noProof/>
        <w:lang w:eastAsia="da-DK"/>
      </w:rPr>
      <w:drawing>
        <wp:anchor distT="0" distB="0" distL="114300" distR="114300" simplePos="0" relativeHeight="251659264" behindDoc="1" locked="0" layoutInCell="1" allowOverlap="1" wp14:anchorId="46F0E1A9" wp14:editId="46F0E1AA">
          <wp:simplePos x="0" y="0"/>
          <wp:positionH relativeFrom="page">
            <wp:posOffset>360045</wp:posOffset>
          </wp:positionH>
          <wp:positionV relativeFrom="page">
            <wp:posOffset>1295684</wp:posOffset>
          </wp:positionV>
          <wp:extent cx="6832800" cy="626040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side 1.png"/>
                  <pic:cNvPicPr/>
                </pic:nvPicPr>
                <pic:blipFill>
                  <a:blip r:embed="rId1">
                    <a:extLst>
                      <a:ext uri="{28A0092B-C50C-407E-A947-70E740481C1C}">
                        <a14:useLocalDpi xmlns:a14="http://schemas.microsoft.com/office/drawing/2010/main" val="0"/>
                      </a:ext>
                    </a:extLst>
                  </a:blip>
                  <a:stretch>
                    <a:fillRect/>
                  </a:stretch>
                </pic:blipFill>
                <pic:spPr>
                  <a:xfrm>
                    <a:off x="0" y="0"/>
                    <a:ext cx="6832800" cy="626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8240" behindDoc="1" locked="0" layoutInCell="1" allowOverlap="1" wp14:anchorId="46F0E1AB" wp14:editId="46F0E1AC">
          <wp:simplePos x="0" y="0"/>
          <wp:positionH relativeFrom="page">
            <wp:posOffset>5564707</wp:posOffset>
          </wp:positionH>
          <wp:positionV relativeFrom="page">
            <wp:posOffset>0</wp:posOffset>
          </wp:positionV>
          <wp:extent cx="1980000" cy="1155600"/>
          <wp:effectExtent l="0" t="0" r="127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80000" cy="11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78AC"/>
    <w:multiLevelType w:val="hybridMultilevel"/>
    <w:tmpl w:val="6284C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515649"/>
    <w:multiLevelType w:val="hybridMultilevel"/>
    <w:tmpl w:val="100CF7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autoHyphenation/>
  <w:consecutiveHyphenLimit w:val="3"/>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CF"/>
    <w:rsid w:val="00003C5F"/>
    <w:rsid w:val="00005A6D"/>
    <w:rsid w:val="0002662D"/>
    <w:rsid w:val="000304CF"/>
    <w:rsid w:val="00036932"/>
    <w:rsid w:val="00051367"/>
    <w:rsid w:val="00056BCC"/>
    <w:rsid w:val="0007273B"/>
    <w:rsid w:val="00077511"/>
    <w:rsid w:val="00077A1C"/>
    <w:rsid w:val="000823FD"/>
    <w:rsid w:val="000C6399"/>
    <w:rsid w:val="000D0B64"/>
    <w:rsid w:val="000D2F34"/>
    <w:rsid w:val="000D64A6"/>
    <w:rsid w:val="000E6AC5"/>
    <w:rsid w:val="000F0F8A"/>
    <w:rsid w:val="000F5F01"/>
    <w:rsid w:val="0010520E"/>
    <w:rsid w:val="00105F3D"/>
    <w:rsid w:val="001132B9"/>
    <w:rsid w:val="001223F4"/>
    <w:rsid w:val="00126954"/>
    <w:rsid w:val="00157886"/>
    <w:rsid w:val="0016562A"/>
    <w:rsid w:val="0016587E"/>
    <w:rsid w:val="001843DF"/>
    <w:rsid w:val="001A1696"/>
    <w:rsid w:val="001C44AB"/>
    <w:rsid w:val="001E5A4D"/>
    <w:rsid w:val="001E705D"/>
    <w:rsid w:val="00211C46"/>
    <w:rsid w:val="00220A2B"/>
    <w:rsid w:val="00242DF3"/>
    <w:rsid w:val="00244FDD"/>
    <w:rsid w:val="00260698"/>
    <w:rsid w:val="002617C4"/>
    <w:rsid w:val="00280938"/>
    <w:rsid w:val="002F31DE"/>
    <w:rsid w:val="0030082E"/>
    <w:rsid w:val="00304847"/>
    <w:rsid w:val="003052F9"/>
    <w:rsid w:val="00312EE4"/>
    <w:rsid w:val="00340E5B"/>
    <w:rsid w:val="00352CAD"/>
    <w:rsid w:val="003634F9"/>
    <w:rsid w:val="003713DD"/>
    <w:rsid w:val="003A16FB"/>
    <w:rsid w:val="003B1F18"/>
    <w:rsid w:val="003B7169"/>
    <w:rsid w:val="003C253B"/>
    <w:rsid w:val="003D06B1"/>
    <w:rsid w:val="003E38CF"/>
    <w:rsid w:val="003F4054"/>
    <w:rsid w:val="004250C1"/>
    <w:rsid w:val="004339DB"/>
    <w:rsid w:val="00450E16"/>
    <w:rsid w:val="00451CAA"/>
    <w:rsid w:val="00453F7A"/>
    <w:rsid w:val="00455F26"/>
    <w:rsid w:val="004716F8"/>
    <w:rsid w:val="00477C0E"/>
    <w:rsid w:val="004903CD"/>
    <w:rsid w:val="004921A0"/>
    <w:rsid w:val="0049506E"/>
    <w:rsid w:val="004A1E08"/>
    <w:rsid w:val="004C5E42"/>
    <w:rsid w:val="004D7F96"/>
    <w:rsid w:val="005031A8"/>
    <w:rsid w:val="00504B6C"/>
    <w:rsid w:val="005070DF"/>
    <w:rsid w:val="0051375E"/>
    <w:rsid w:val="00513E51"/>
    <w:rsid w:val="00523E96"/>
    <w:rsid w:val="005255F5"/>
    <w:rsid w:val="00526B14"/>
    <w:rsid w:val="00543312"/>
    <w:rsid w:val="0055174D"/>
    <w:rsid w:val="00551A21"/>
    <w:rsid w:val="00552865"/>
    <w:rsid w:val="00595A8C"/>
    <w:rsid w:val="005D2933"/>
    <w:rsid w:val="005F68D9"/>
    <w:rsid w:val="006018C6"/>
    <w:rsid w:val="00613FE2"/>
    <w:rsid w:val="00622A4B"/>
    <w:rsid w:val="00636184"/>
    <w:rsid w:val="006403AD"/>
    <w:rsid w:val="006454B4"/>
    <w:rsid w:val="00654825"/>
    <w:rsid w:val="006608D5"/>
    <w:rsid w:val="00660913"/>
    <w:rsid w:val="00662D09"/>
    <w:rsid w:val="006732F3"/>
    <w:rsid w:val="00677943"/>
    <w:rsid w:val="006845FA"/>
    <w:rsid w:val="006C6ACD"/>
    <w:rsid w:val="006D1450"/>
    <w:rsid w:val="006E4C17"/>
    <w:rsid w:val="006F24E6"/>
    <w:rsid w:val="00701F96"/>
    <w:rsid w:val="00711E2F"/>
    <w:rsid w:val="007215BB"/>
    <w:rsid w:val="00721831"/>
    <w:rsid w:val="007218D2"/>
    <w:rsid w:val="00734374"/>
    <w:rsid w:val="007378AB"/>
    <w:rsid w:val="00744C02"/>
    <w:rsid w:val="007456D0"/>
    <w:rsid w:val="007571CE"/>
    <w:rsid w:val="00765B8E"/>
    <w:rsid w:val="00770D99"/>
    <w:rsid w:val="00791FD7"/>
    <w:rsid w:val="007A1844"/>
    <w:rsid w:val="007B1884"/>
    <w:rsid w:val="007B7766"/>
    <w:rsid w:val="007E3A9F"/>
    <w:rsid w:val="007E426D"/>
    <w:rsid w:val="007E52D1"/>
    <w:rsid w:val="0080319E"/>
    <w:rsid w:val="00807F92"/>
    <w:rsid w:val="00815627"/>
    <w:rsid w:val="008219CD"/>
    <w:rsid w:val="00825D1E"/>
    <w:rsid w:val="0082745E"/>
    <w:rsid w:val="00830CDC"/>
    <w:rsid w:val="00835418"/>
    <w:rsid w:val="00854345"/>
    <w:rsid w:val="0086662A"/>
    <w:rsid w:val="008767F9"/>
    <w:rsid w:val="00876E0C"/>
    <w:rsid w:val="0088360E"/>
    <w:rsid w:val="00887414"/>
    <w:rsid w:val="00893D88"/>
    <w:rsid w:val="008B0EE8"/>
    <w:rsid w:val="009203B8"/>
    <w:rsid w:val="009212D8"/>
    <w:rsid w:val="009226B4"/>
    <w:rsid w:val="00923133"/>
    <w:rsid w:val="009273DA"/>
    <w:rsid w:val="00956622"/>
    <w:rsid w:val="0096073C"/>
    <w:rsid w:val="00981446"/>
    <w:rsid w:val="009A133A"/>
    <w:rsid w:val="009B7FD7"/>
    <w:rsid w:val="009C202B"/>
    <w:rsid w:val="00A06589"/>
    <w:rsid w:val="00A47920"/>
    <w:rsid w:val="00A55E3B"/>
    <w:rsid w:val="00A56030"/>
    <w:rsid w:val="00A67A3B"/>
    <w:rsid w:val="00A76A51"/>
    <w:rsid w:val="00A875E1"/>
    <w:rsid w:val="00AA70E5"/>
    <w:rsid w:val="00B11F5F"/>
    <w:rsid w:val="00B27773"/>
    <w:rsid w:val="00B445DD"/>
    <w:rsid w:val="00B9515C"/>
    <w:rsid w:val="00BA1949"/>
    <w:rsid w:val="00BC2969"/>
    <w:rsid w:val="00C07AE6"/>
    <w:rsid w:val="00C2619C"/>
    <w:rsid w:val="00C55996"/>
    <w:rsid w:val="00C63A1C"/>
    <w:rsid w:val="00C66580"/>
    <w:rsid w:val="00C666DF"/>
    <w:rsid w:val="00C70536"/>
    <w:rsid w:val="00C71DB7"/>
    <w:rsid w:val="00C77BAC"/>
    <w:rsid w:val="00C9339A"/>
    <w:rsid w:val="00C97A63"/>
    <w:rsid w:val="00CB55CA"/>
    <w:rsid w:val="00CC2FD9"/>
    <w:rsid w:val="00CC512D"/>
    <w:rsid w:val="00CD20E0"/>
    <w:rsid w:val="00CE2A84"/>
    <w:rsid w:val="00CF4DA5"/>
    <w:rsid w:val="00D43511"/>
    <w:rsid w:val="00D55102"/>
    <w:rsid w:val="00D73B8F"/>
    <w:rsid w:val="00D750B9"/>
    <w:rsid w:val="00D915F2"/>
    <w:rsid w:val="00D930C4"/>
    <w:rsid w:val="00DB324D"/>
    <w:rsid w:val="00DE33D6"/>
    <w:rsid w:val="00DE3911"/>
    <w:rsid w:val="00E0465D"/>
    <w:rsid w:val="00E13182"/>
    <w:rsid w:val="00E24EA9"/>
    <w:rsid w:val="00E27519"/>
    <w:rsid w:val="00E551F6"/>
    <w:rsid w:val="00E56791"/>
    <w:rsid w:val="00E72E21"/>
    <w:rsid w:val="00E83232"/>
    <w:rsid w:val="00E84E3D"/>
    <w:rsid w:val="00E9165A"/>
    <w:rsid w:val="00E931AC"/>
    <w:rsid w:val="00E96FD2"/>
    <w:rsid w:val="00EA14D8"/>
    <w:rsid w:val="00EA2FA6"/>
    <w:rsid w:val="00EB3CA2"/>
    <w:rsid w:val="00ED60FE"/>
    <w:rsid w:val="00EE359D"/>
    <w:rsid w:val="00EF7EAE"/>
    <w:rsid w:val="00F0708A"/>
    <w:rsid w:val="00F34F15"/>
    <w:rsid w:val="00F4616A"/>
    <w:rsid w:val="00F52C05"/>
    <w:rsid w:val="00F624B8"/>
    <w:rsid w:val="00F67B67"/>
    <w:rsid w:val="00F8073A"/>
    <w:rsid w:val="00F84075"/>
    <w:rsid w:val="00FB72EB"/>
    <w:rsid w:val="00FE5514"/>
    <w:rsid w:val="00FE69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306DC6"/>
  <w15:chartTrackingRefBased/>
  <w15:docId w15:val="{B1D3FBE0-E7B3-C04C-A553-1C586BE7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96"/>
    <w:pPr>
      <w:spacing w:line="264" w:lineRule="auto"/>
      <w:jc w:val="both"/>
    </w:pPr>
    <w:rPr>
      <w:sz w:val="20"/>
    </w:rPr>
  </w:style>
  <w:style w:type="paragraph" w:styleId="Overskrift1">
    <w:name w:val="heading 1"/>
    <w:basedOn w:val="Normal"/>
    <w:next w:val="Normal"/>
    <w:link w:val="Overskrift1Tegn"/>
    <w:uiPriority w:val="9"/>
    <w:qFormat/>
    <w:rsid w:val="001A1696"/>
    <w:pPr>
      <w:keepNext/>
      <w:keepLines/>
      <w:spacing w:before="960" w:after="1000" w:line="480" w:lineRule="exact"/>
      <w:outlineLvl w:val="0"/>
    </w:pPr>
    <w:rPr>
      <w:rFonts w:asciiTheme="majorHAnsi" w:eastAsiaTheme="majorEastAsia" w:hAnsiTheme="majorHAnsi" w:cstheme="majorBidi"/>
      <w:b/>
      <w:sz w:val="34"/>
      <w:szCs w:val="32"/>
    </w:rPr>
  </w:style>
  <w:style w:type="paragraph" w:styleId="Overskrift2">
    <w:name w:val="heading 2"/>
    <w:basedOn w:val="Normal"/>
    <w:next w:val="Normal"/>
    <w:link w:val="Overskrift2Tegn"/>
    <w:uiPriority w:val="9"/>
    <w:unhideWhenUsed/>
    <w:qFormat/>
    <w:rsid w:val="001A1696"/>
    <w:pPr>
      <w:keepNext/>
      <w:keepLines/>
      <w:spacing w:before="440" w:after="24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835418"/>
    <w:pPr>
      <w:keepNext/>
      <w:keepLines/>
      <w:spacing w:before="440" w:after="240"/>
      <w:outlineLvl w:val="2"/>
    </w:pPr>
    <w:rPr>
      <w:rFonts w:asciiTheme="majorHAnsi" w:eastAsiaTheme="majorEastAsia" w:hAnsiTheme="majorHAnsi" w:cstheme="majorBidi"/>
      <w:b/>
      <w:sz w:val="22"/>
    </w:rPr>
  </w:style>
  <w:style w:type="paragraph" w:styleId="Overskrift4">
    <w:name w:val="heading 4"/>
    <w:basedOn w:val="Normal"/>
    <w:next w:val="Normal"/>
    <w:link w:val="Overskrift4Tegn"/>
    <w:uiPriority w:val="9"/>
    <w:unhideWhenUsed/>
    <w:qFormat/>
    <w:rsid w:val="00835418"/>
    <w:pPr>
      <w:keepNext/>
      <w:keepLines/>
      <w:spacing w:before="600" w:after="240"/>
      <w:outlineLvl w:val="3"/>
    </w:pPr>
    <w:rPr>
      <w:rFonts w:asciiTheme="majorHAnsi" w:eastAsiaTheme="majorEastAsia" w:hAnsiTheme="majorHAnsi" w:cstheme="majorBidi"/>
      <w:i/>
      <w:i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38CF"/>
    <w:pPr>
      <w:tabs>
        <w:tab w:val="center" w:pos="4986"/>
        <w:tab w:val="right" w:pos="9972"/>
      </w:tabs>
    </w:pPr>
  </w:style>
  <w:style w:type="character" w:customStyle="1" w:styleId="SidehovedTegn">
    <w:name w:val="Sidehoved Tegn"/>
    <w:basedOn w:val="Standardskrifttypeiafsnit"/>
    <w:link w:val="Sidehoved"/>
    <w:uiPriority w:val="99"/>
    <w:rsid w:val="003E38CF"/>
  </w:style>
  <w:style w:type="paragraph" w:styleId="Sidefod">
    <w:name w:val="footer"/>
    <w:basedOn w:val="Normal"/>
    <w:link w:val="SidefodTegn"/>
    <w:uiPriority w:val="99"/>
    <w:unhideWhenUsed/>
    <w:rsid w:val="005F68D9"/>
    <w:pPr>
      <w:tabs>
        <w:tab w:val="center" w:pos="4986"/>
        <w:tab w:val="right" w:pos="9972"/>
      </w:tabs>
    </w:pPr>
    <w:rPr>
      <w:color w:val="402880"/>
      <w:sz w:val="16"/>
    </w:rPr>
  </w:style>
  <w:style w:type="character" w:customStyle="1" w:styleId="SidefodTegn">
    <w:name w:val="Sidefod Tegn"/>
    <w:basedOn w:val="Standardskrifttypeiafsnit"/>
    <w:link w:val="Sidefod"/>
    <w:uiPriority w:val="99"/>
    <w:rsid w:val="005F68D9"/>
    <w:rPr>
      <w:color w:val="402880"/>
      <w:sz w:val="16"/>
    </w:rPr>
  </w:style>
  <w:style w:type="paragraph" w:styleId="Titel">
    <w:name w:val="Title"/>
    <w:basedOn w:val="Normal"/>
    <w:next w:val="Normal"/>
    <w:link w:val="TitelTegn"/>
    <w:uiPriority w:val="10"/>
    <w:qFormat/>
    <w:rsid w:val="003E38CF"/>
    <w:pPr>
      <w:contextualSpacing/>
    </w:pPr>
    <w:rPr>
      <w:rFonts w:asciiTheme="majorHAnsi" w:eastAsiaTheme="majorEastAsia" w:hAnsiTheme="majorHAnsi" w:cstheme="majorBidi"/>
      <w:color w:val="402880"/>
      <w:spacing w:val="-10"/>
      <w:kern w:val="28"/>
      <w:sz w:val="52"/>
      <w:szCs w:val="52"/>
    </w:rPr>
  </w:style>
  <w:style w:type="character" w:customStyle="1" w:styleId="TitelTegn">
    <w:name w:val="Titel Tegn"/>
    <w:basedOn w:val="Standardskrifttypeiafsnit"/>
    <w:link w:val="Titel"/>
    <w:uiPriority w:val="10"/>
    <w:rsid w:val="003E38CF"/>
    <w:rPr>
      <w:rFonts w:asciiTheme="majorHAnsi" w:eastAsiaTheme="majorEastAsia" w:hAnsiTheme="majorHAnsi" w:cstheme="majorBidi"/>
      <w:color w:val="402880"/>
      <w:spacing w:val="-10"/>
      <w:kern w:val="28"/>
      <w:sz w:val="52"/>
      <w:szCs w:val="52"/>
    </w:rPr>
  </w:style>
  <w:style w:type="character" w:customStyle="1" w:styleId="Overskrift1Tegn">
    <w:name w:val="Overskrift 1 Tegn"/>
    <w:basedOn w:val="Standardskrifttypeiafsnit"/>
    <w:link w:val="Overskrift1"/>
    <w:uiPriority w:val="9"/>
    <w:rsid w:val="001A1696"/>
    <w:rPr>
      <w:rFonts w:asciiTheme="majorHAnsi" w:eastAsiaTheme="majorEastAsia" w:hAnsiTheme="majorHAnsi" w:cstheme="majorBidi"/>
      <w:b/>
      <w:sz w:val="34"/>
      <w:szCs w:val="32"/>
    </w:rPr>
  </w:style>
  <w:style w:type="character" w:customStyle="1" w:styleId="Overskrift2Tegn">
    <w:name w:val="Overskrift 2 Tegn"/>
    <w:basedOn w:val="Standardskrifttypeiafsnit"/>
    <w:link w:val="Overskrift2"/>
    <w:uiPriority w:val="9"/>
    <w:rsid w:val="001A1696"/>
    <w:rPr>
      <w:rFonts w:asciiTheme="majorHAnsi" w:eastAsiaTheme="majorEastAsia" w:hAnsiTheme="majorHAnsi" w:cstheme="majorBidi"/>
      <w:b/>
      <w:sz w:val="26"/>
      <w:szCs w:val="26"/>
    </w:rPr>
  </w:style>
  <w:style w:type="character" w:customStyle="1" w:styleId="Overskrift3Tegn">
    <w:name w:val="Overskrift 3 Tegn"/>
    <w:basedOn w:val="Standardskrifttypeiafsnit"/>
    <w:link w:val="Overskrift3"/>
    <w:uiPriority w:val="9"/>
    <w:rsid w:val="00835418"/>
    <w:rPr>
      <w:rFonts w:asciiTheme="majorHAnsi" w:eastAsiaTheme="majorEastAsia" w:hAnsiTheme="majorHAnsi" w:cstheme="majorBidi"/>
      <w:b/>
      <w:sz w:val="22"/>
    </w:rPr>
  </w:style>
  <w:style w:type="character" w:customStyle="1" w:styleId="Overskrift4Tegn">
    <w:name w:val="Overskrift 4 Tegn"/>
    <w:basedOn w:val="Standardskrifttypeiafsnit"/>
    <w:link w:val="Overskrift4"/>
    <w:uiPriority w:val="9"/>
    <w:rsid w:val="00835418"/>
    <w:rPr>
      <w:rFonts w:asciiTheme="majorHAnsi" w:eastAsiaTheme="majorEastAsia" w:hAnsiTheme="majorHAnsi" w:cstheme="majorBidi"/>
      <w:i/>
      <w:iCs/>
    </w:rPr>
  </w:style>
  <w:style w:type="character" w:styleId="Sidetal">
    <w:name w:val="page number"/>
    <w:basedOn w:val="Standardskrifttypeiafsnit"/>
    <w:uiPriority w:val="99"/>
    <w:semiHidden/>
    <w:unhideWhenUsed/>
    <w:rsid w:val="00EB3CA2"/>
  </w:style>
  <w:style w:type="paragraph" w:customStyle="1" w:styleId="Normalindryk">
    <w:name w:val="Normal + indryk"/>
    <w:basedOn w:val="Normal"/>
    <w:qFormat/>
    <w:rsid w:val="00662D09"/>
    <w:pPr>
      <w:ind w:firstLine="227"/>
    </w:pPr>
  </w:style>
  <w:style w:type="character" w:styleId="Kommentarhenvisning">
    <w:name w:val="annotation reference"/>
    <w:basedOn w:val="Standardskrifttypeiafsnit"/>
    <w:uiPriority w:val="99"/>
    <w:semiHidden/>
    <w:unhideWhenUsed/>
    <w:rsid w:val="00662D09"/>
    <w:rPr>
      <w:sz w:val="16"/>
      <w:szCs w:val="16"/>
    </w:rPr>
  </w:style>
  <w:style w:type="paragraph" w:styleId="Kommentartekst">
    <w:name w:val="annotation text"/>
    <w:basedOn w:val="Normal"/>
    <w:link w:val="KommentartekstTegn"/>
    <w:uiPriority w:val="99"/>
    <w:unhideWhenUsed/>
    <w:rsid w:val="00662D09"/>
    <w:pPr>
      <w:spacing w:line="240" w:lineRule="auto"/>
    </w:pPr>
    <w:rPr>
      <w:szCs w:val="20"/>
    </w:rPr>
  </w:style>
  <w:style w:type="character" w:customStyle="1" w:styleId="KommentartekstTegn">
    <w:name w:val="Kommentartekst Tegn"/>
    <w:basedOn w:val="Standardskrifttypeiafsnit"/>
    <w:link w:val="Kommentartekst"/>
    <w:uiPriority w:val="99"/>
    <w:rsid w:val="00662D09"/>
    <w:rPr>
      <w:sz w:val="20"/>
      <w:szCs w:val="20"/>
    </w:rPr>
  </w:style>
  <w:style w:type="paragraph" w:styleId="Markeringsbobletekst">
    <w:name w:val="Balloon Text"/>
    <w:basedOn w:val="Normal"/>
    <w:link w:val="MarkeringsbobletekstTegn"/>
    <w:uiPriority w:val="99"/>
    <w:semiHidden/>
    <w:unhideWhenUsed/>
    <w:rsid w:val="00662D09"/>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62D09"/>
    <w:rPr>
      <w:rFonts w:ascii="Segoe UI" w:hAnsi="Segoe UI" w:cs="Segoe UI"/>
      <w:sz w:val="18"/>
      <w:szCs w:val="18"/>
    </w:rPr>
  </w:style>
  <w:style w:type="paragraph" w:styleId="Overskrift">
    <w:name w:val="TOC Heading"/>
    <w:basedOn w:val="Overskrift1"/>
    <w:next w:val="Normal"/>
    <w:uiPriority w:val="39"/>
    <w:unhideWhenUsed/>
    <w:qFormat/>
    <w:rsid w:val="001E5A4D"/>
    <w:pPr>
      <w:spacing w:before="240" w:after="0" w:line="259" w:lineRule="auto"/>
      <w:jc w:val="left"/>
      <w:outlineLvl w:val="9"/>
    </w:pPr>
    <w:rPr>
      <w:b w:val="0"/>
      <w:color w:val="2F5496" w:themeColor="accent1" w:themeShade="BF"/>
      <w:sz w:val="32"/>
      <w:lang w:eastAsia="da-DK"/>
    </w:rPr>
  </w:style>
  <w:style w:type="paragraph" w:styleId="Indholdsfortegnelse1">
    <w:name w:val="toc 1"/>
    <w:basedOn w:val="Normal"/>
    <w:next w:val="Normal"/>
    <w:autoRedefine/>
    <w:uiPriority w:val="39"/>
    <w:unhideWhenUsed/>
    <w:rsid w:val="001E5A4D"/>
    <w:pPr>
      <w:spacing w:after="100"/>
    </w:pPr>
  </w:style>
  <w:style w:type="paragraph" w:styleId="Indholdsfortegnelse2">
    <w:name w:val="toc 2"/>
    <w:basedOn w:val="Normal"/>
    <w:next w:val="Normal"/>
    <w:autoRedefine/>
    <w:uiPriority w:val="39"/>
    <w:unhideWhenUsed/>
    <w:rsid w:val="001E5A4D"/>
    <w:pPr>
      <w:spacing w:after="100"/>
      <w:ind w:left="200"/>
    </w:pPr>
  </w:style>
  <w:style w:type="paragraph" w:styleId="Indholdsfortegnelse3">
    <w:name w:val="toc 3"/>
    <w:basedOn w:val="Normal"/>
    <w:next w:val="Normal"/>
    <w:autoRedefine/>
    <w:uiPriority w:val="39"/>
    <w:unhideWhenUsed/>
    <w:rsid w:val="001E5A4D"/>
    <w:pPr>
      <w:spacing w:after="100"/>
      <w:ind w:left="400"/>
    </w:pPr>
  </w:style>
  <w:style w:type="character" w:styleId="Hyperlink">
    <w:name w:val="Hyperlink"/>
    <w:basedOn w:val="Standardskrifttypeiafsnit"/>
    <w:uiPriority w:val="99"/>
    <w:unhideWhenUsed/>
    <w:rsid w:val="001E5A4D"/>
    <w:rPr>
      <w:color w:val="0563C1" w:themeColor="hyperlink"/>
      <w:u w:val="single"/>
    </w:rPr>
  </w:style>
  <w:style w:type="paragraph" w:styleId="Kommentaremne">
    <w:name w:val="annotation subject"/>
    <w:basedOn w:val="Kommentartekst"/>
    <w:next w:val="Kommentartekst"/>
    <w:link w:val="KommentaremneTegn"/>
    <w:uiPriority w:val="99"/>
    <w:semiHidden/>
    <w:unhideWhenUsed/>
    <w:rsid w:val="005255F5"/>
    <w:rPr>
      <w:b/>
      <w:bCs/>
    </w:rPr>
  </w:style>
  <w:style w:type="character" w:customStyle="1" w:styleId="KommentaremneTegn">
    <w:name w:val="Kommentaremne Tegn"/>
    <w:basedOn w:val="KommentartekstTegn"/>
    <w:link w:val="Kommentaremne"/>
    <w:uiPriority w:val="99"/>
    <w:semiHidden/>
    <w:rsid w:val="005255F5"/>
    <w:rPr>
      <w:b/>
      <w:bCs/>
      <w:sz w:val="20"/>
      <w:szCs w:val="20"/>
    </w:rPr>
  </w:style>
  <w:style w:type="paragraph" w:styleId="Listeafsnit">
    <w:name w:val="List Paragraph"/>
    <w:basedOn w:val="Normal"/>
    <w:uiPriority w:val="34"/>
    <w:qFormat/>
    <w:rsid w:val="007E52D1"/>
    <w:pPr>
      <w:spacing w:line="340" w:lineRule="exact"/>
      <w:ind w:left="1304"/>
    </w:pPr>
    <w:rPr>
      <w:rFonts w:ascii="Times New Roman" w:eastAsia="Times New Roman" w:hAnsi="Times New Roman" w:cs="Times New Roman"/>
      <w:sz w:val="22"/>
      <w:szCs w:val="20"/>
      <w:lang w:eastAsia="da-DK"/>
    </w:rPr>
  </w:style>
  <w:style w:type="paragraph" w:customStyle="1" w:styleId="Default">
    <w:name w:val="Default"/>
    <w:rsid w:val="00513E51"/>
    <w:pPr>
      <w:autoSpaceDE w:val="0"/>
      <w:autoSpaceDN w:val="0"/>
      <w:adjustRightInd w:val="0"/>
    </w:pPr>
    <w:rPr>
      <w:rFonts w:ascii="Fedra Serif B Std Book" w:hAnsi="Fedra Serif B Std Book" w:cs="Fedra Serif B Std Book"/>
      <w:color w:val="000000"/>
    </w:rPr>
  </w:style>
  <w:style w:type="character" w:customStyle="1" w:styleId="A5">
    <w:name w:val="A5"/>
    <w:uiPriority w:val="99"/>
    <w:rsid w:val="004339DB"/>
    <w:rPr>
      <w:rFonts w:cs="Fedra Serif B Std Book"/>
      <w:color w:val="000000"/>
      <w:sz w:val="18"/>
      <w:szCs w:val="18"/>
    </w:rPr>
  </w:style>
  <w:style w:type="character" w:styleId="BesgtLink">
    <w:name w:val="FollowedHyperlink"/>
    <w:basedOn w:val="Standardskrifttypeiafsnit"/>
    <w:uiPriority w:val="99"/>
    <w:semiHidden/>
    <w:unhideWhenUsed/>
    <w:rsid w:val="00056B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3358">
      <w:bodyDiv w:val="1"/>
      <w:marLeft w:val="0"/>
      <w:marRight w:val="0"/>
      <w:marTop w:val="0"/>
      <w:marBottom w:val="0"/>
      <w:divBdr>
        <w:top w:val="none" w:sz="0" w:space="0" w:color="auto"/>
        <w:left w:val="none" w:sz="0" w:space="0" w:color="auto"/>
        <w:bottom w:val="none" w:sz="0" w:space="0" w:color="auto"/>
        <w:right w:val="none" w:sz="0" w:space="0" w:color="auto"/>
      </w:divBdr>
      <w:divsChild>
        <w:div w:id="264778131">
          <w:marLeft w:val="0"/>
          <w:marRight w:val="0"/>
          <w:marTop w:val="0"/>
          <w:marBottom w:val="0"/>
          <w:divBdr>
            <w:top w:val="none" w:sz="0" w:space="0" w:color="auto"/>
            <w:left w:val="none" w:sz="0" w:space="0" w:color="auto"/>
            <w:bottom w:val="none" w:sz="0" w:space="0" w:color="auto"/>
            <w:right w:val="none" w:sz="0" w:space="0" w:color="auto"/>
          </w:divBdr>
        </w:div>
        <w:div w:id="1784377551">
          <w:marLeft w:val="0"/>
          <w:marRight w:val="0"/>
          <w:marTop w:val="0"/>
          <w:marBottom w:val="0"/>
          <w:divBdr>
            <w:top w:val="none" w:sz="0" w:space="0" w:color="auto"/>
            <w:left w:val="none" w:sz="0" w:space="0" w:color="auto"/>
            <w:bottom w:val="none" w:sz="0" w:space="0" w:color="auto"/>
            <w:right w:val="none" w:sz="0" w:space="0" w:color="auto"/>
          </w:divBdr>
        </w:div>
        <w:div w:id="1327512920">
          <w:marLeft w:val="0"/>
          <w:marRight w:val="0"/>
          <w:marTop w:val="0"/>
          <w:marBottom w:val="0"/>
          <w:divBdr>
            <w:top w:val="none" w:sz="0" w:space="0" w:color="auto"/>
            <w:left w:val="none" w:sz="0" w:space="0" w:color="auto"/>
            <w:bottom w:val="none" w:sz="0" w:space="0" w:color="auto"/>
            <w:right w:val="none" w:sz="0" w:space="0" w:color="auto"/>
          </w:divBdr>
        </w:div>
        <w:div w:id="1926960143">
          <w:marLeft w:val="0"/>
          <w:marRight w:val="0"/>
          <w:marTop w:val="0"/>
          <w:marBottom w:val="0"/>
          <w:divBdr>
            <w:top w:val="none" w:sz="0" w:space="0" w:color="auto"/>
            <w:left w:val="none" w:sz="0" w:space="0" w:color="auto"/>
            <w:bottom w:val="none" w:sz="0" w:space="0" w:color="auto"/>
            <w:right w:val="none" w:sz="0" w:space="0" w:color="auto"/>
          </w:divBdr>
        </w:div>
        <w:div w:id="395712642">
          <w:marLeft w:val="0"/>
          <w:marRight w:val="0"/>
          <w:marTop w:val="0"/>
          <w:marBottom w:val="0"/>
          <w:divBdr>
            <w:top w:val="none" w:sz="0" w:space="0" w:color="auto"/>
            <w:left w:val="none" w:sz="0" w:space="0" w:color="auto"/>
            <w:bottom w:val="none" w:sz="0" w:space="0" w:color="auto"/>
            <w:right w:val="none" w:sz="0" w:space="0" w:color="auto"/>
          </w:divBdr>
        </w:div>
        <w:div w:id="1362508399">
          <w:marLeft w:val="0"/>
          <w:marRight w:val="0"/>
          <w:marTop w:val="0"/>
          <w:marBottom w:val="0"/>
          <w:divBdr>
            <w:top w:val="none" w:sz="0" w:space="0" w:color="auto"/>
            <w:left w:val="none" w:sz="0" w:space="0" w:color="auto"/>
            <w:bottom w:val="none" w:sz="0" w:space="0" w:color="auto"/>
            <w:right w:val="none" w:sz="0" w:space="0" w:color="auto"/>
          </w:divBdr>
        </w:div>
        <w:div w:id="1451438137">
          <w:marLeft w:val="0"/>
          <w:marRight w:val="0"/>
          <w:marTop w:val="0"/>
          <w:marBottom w:val="0"/>
          <w:divBdr>
            <w:top w:val="none" w:sz="0" w:space="0" w:color="auto"/>
            <w:left w:val="none" w:sz="0" w:space="0" w:color="auto"/>
            <w:bottom w:val="none" w:sz="0" w:space="0" w:color="auto"/>
            <w:right w:val="none" w:sz="0" w:space="0" w:color="auto"/>
          </w:divBdr>
        </w:div>
        <w:div w:id="81069274">
          <w:marLeft w:val="0"/>
          <w:marRight w:val="0"/>
          <w:marTop w:val="0"/>
          <w:marBottom w:val="0"/>
          <w:divBdr>
            <w:top w:val="none" w:sz="0" w:space="0" w:color="auto"/>
            <w:left w:val="none" w:sz="0" w:space="0" w:color="auto"/>
            <w:bottom w:val="none" w:sz="0" w:space="0" w:color="auto"/>
            <w:right w:val="none" w:sz="0" w:space="0" w:color="auto"/>
          </w:divBdr>
        </w:div>
      </w:divsChild>
    </w:div>
    <w:div w:id="1208567199">
      <w:bodyDiv w:val="1"/>
      <w:marLeft w:val="0"/>
      <w:marRight w:val="0"/>
      <w:marTop w:val="0"/>
      <w:marBottom w:val="0"/>
      <w:divBdr>
        <w:top w:val="none" w:sz="0" w:space="0" w:color="auto"/>
        <w:left w:val="none" w:sz="0" w:space="0" w:color="auto"/>
        <w:bottom w:val="none" w:sz="0" w:space="0" w:color="auto"/>
        <w:right w:val="none" w:sz="0" w:space="0" w:color="auto"/>
      </w:divBdr>
      <w:divsChild>
        <w:div w:id="433330877">
          <w:marLeft w:val="0"/>
          <w:marRight w:val="0"/>
          <w:marTop w:val="0"/>
          <w:marBottom w:val="0"/>
          <w:divBdr>
            <w:top w:val="none" w:sz="0" w:space="0" w:color="auto"/>
            <w:left w:val="none" w:sz="0" w:space="0" w:color="auto"/>
            <w:bottom w:val="none" w:sz="0" w:space="0" w:color="auto"/>
            <w:right w:val="none" w:sz="0" w:space="0" w:color="auto"/>
          </w:divBdr>
        </w:div>
        <w:div w:id="1698702857">
          <w:marLeft w:val="0"/>
          <w:marRight w:val="0"/>
          <w:marTop w:val="0"/>
          <w:marBottom w:val="0"/>
          <w:divBdr>
            <w:top w:val="none" w:sz="0" w:space="0" w:color="auto"/>
            <w:left w:val="none" w:sz="0" w:space="0" w:color="auto"/>
            <w:bottom w:val="none" w:sz="0" w:space="0" w:color="auto"/>
            <w:right w:val="none" w:sz="0" w:space="0" w:color="auto"/>
          </w:divBdr>
        </w:div>
      </w:divsChild>
    </w:div>
    <w:div w:id="21414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04DE069AD7134F91AE8A31FD4B13D2" ma:contentTypeVersion="0" ma:contentTypeDescription="Opret et nyt dokument." ma:contentTypeScope="" ma:versionID="634eb3bdc9b357d924cac293f34668bc">
  <xsd:schema xmlns:xsd="http://www.w3.org/2001/XMLSchema" xmlns:p="http://schemas.microsoft.com/office/2006/metadata/properties" targetNamespace="http://schemas.microsoft.com/office/2006/metadata/properties" ma:root="true" ma:fieldsID="6c38ccd06675f164c4dcc06c32744f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08FA-2083-44D0-BB20-9339C038D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62ADA0-0647-4F0F-85C7-C79ADAADC3B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DD7FD5C-AFAF-43B4-BC3F-3B2E80ABBE8F}">
  <ds:schemaRefs>
    <ds:schemaRef ds:uri="http://schemas.microsoft.com/sharepoint/v3/contenttype/forms"/>
  </ds:schemaRefs>
</ds:datastoreItem>
</file>

<file path=customXml/itemProps4.xml><?xml version="1.0" encoding="utf-8"?>
<ds:datastoreItem xmlns:ds="http://schemas.openxmlformats.org/officeDocument/2006/customXml" ds:itemID="{B9E11A2A-7708-4299-A2DE-79358C75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656</Words>
  <Characters>4002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Den centrale tilsynsplan med politiets og anklagemyndighedens straffesagsbehandling</vt: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centrale tilsynsplan med politiets og anklagemyndighedens straffesagsbehandling</dc:title>
  <dc:subject/>
  <dc:creator>uth002@ankl.dk</dc:creator>
  <cp:keywords/>
  <dc:description/>
  <cp:lastModifiedBy>Sofie Ramsrud Goodwin</cp:lastModifiedBy>
  <cp:revision>3</cp:revision>
  <cp:lastPrinted>2022-06-20T08:38:00Z</cp:lastPrinted>
  <dcterms:created xsi:type="dcterms:W3CDTF">2024-01-22T14:23:00Z</dcterms:created>
  <dcterms:modified xsi:type="dcterms:W3CDTF">2024-01-22T14:30:00Z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0x0101003E04DE069AD7134F91AE8A31FD4B13D2</vt:lpwstr>
  </property>
</Properties>
</file>